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Редакция от 14 мая 2026 г.</w:t>
      </w:r>
    </w:p>
    <w:bookmarkStart w:id="10" w:name="преамбула"/>
    <w:p>
      <w:pPr>
        <w:pStyle w:val="Heading2"/>
      </w:pPr>
      <w:r>
        <w:t xml:space="preserve">1. Преамбула</w:t>
      </w:r>
    </w:p>
    <w:p>
      <w:pPr>
        <w:pStyle w:val="FirstParagraph"/>
      </w:pPr>
      <w:r>
        <w:t xml:space="preserve">Настоящий документ представляет собой образец согласия субъекта</w:t>
      </w:r>
      <w:r>
        <w:t xml:space="preserve"> </w:t>
      </w:r>
      <w:r>
        <w:t xml:space="preserve">персональных данных, оформляемого в соответствии со статьёй 9</w:t>
      </w:r>
      <w:r>
        <w:t xml:space="preserve"> </w:t>
      </w:r>
      <w:r>
        <w:t xml:space="preserve">Федерального закона от 27.07.2006 № 152-ФЗ «О персональных данных»</w:t>
      </w:r>
      <w:r>
        <w:t xml:space="preserve"> </w:t>
      </w:r>
      <w:r>
        <w:t xml:space="preserve">(далее — «152-ФЗ»).</w:t>
      </w:r>
    </w:p>
    <w:p>
      <w:pPr>
        <w:pStyle w:val="BodyText"/>
      </w:pPr>
      <w:r>
        <w:t xml:space="preserve">Направляя обращение, запрос или иные сведения, содержащие персональные</w:t>
      </w:r>
      <w:r>
        <w:t xml:space="preserve"> </w:t>
      </w:r>
      <w:r>
        <w:t xml:space="preserve">данные, в адрес Оператора, физическое лицо (далее — «Субъект ПДн»)</w:t>
      </w:r>
      <w:r>
        <w:t xml:space="preserve"> </w:t>
      </w:r>
      <w:r>
        <w:t xml:space="preserve">выражает свободное, конкретное, информированное и сознательное согласие</w:t>
      </w:r>
      <w:r>
        <w:t xml:space="preserve"> </w:t>
      </w:r>
      <w:r>
        <w:t xml:space="preserve">на обработку своих персональных данных Оператором на условиях,</w:t>
      </w:r>
      <w:r>
        <w:t xml:space="preserve"> </w:t>
      </w:r>
      <w:r>
        <w:t xml:space="preserve">изложенных в настоящем документе и в</w:t>
      </w:r>
      <w:r>
        <w:t xml:space="preserve"> </w:t>
      </w:r>
      <w:hyperlink r:id="rId9">
        <w:r>
          <w:rPr>
            <w:rStyle w:val="Hyperlink"/>
          </w:rPr>
          <w:t xml:space="preserve">Политике обработки персональных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данных</w:t>
        </w:r>
      </w:hyperlink>
      <w:r>
        <w:t xml:space="preserve">.</w:t>
      </w:r>
    </w:p>
    <w:bookmarkEnd w:id="10"/>
    <w:bookmarkStart w:id="13" w:name="оператор"/>
    <w:p>
      <w:pPr>
        <w:pStyle w:val="Heading2"/>
      </w:pPr>
      <w:r>
        <w:t xml:space="preserve">2. Оператор</w:t>
      </w:r>
    </w:p>
    <w:p>
      <w:pPr>
        <w:pStyle w:val="FirstParagraph"/>
      </w:pPr>
      <w:r>
        <w:rPr>
          <w:b/>
          <w:bCs/>
        </w:rPr>
        <w:t xml:space="preserve">Индивидуальный предприниматель Белов Иван Сергеевич</w:t>
      </w:r>
    </w:p>
    <w:p>
      <w:pPr>
        <w:pStyle w:val="Compact"/>
        <w:numPr>
          <w:ilvl w:val="0"/>
          <w:numId w:val="1001"/>
        </w:numPr>
      </w:pPr>
      <w:r>
        <w:t xml:space="preserve">ИНН: 773418500128</w:t>
      </w:r>
    </w:p>
    <w:p>
      <w:pPr>
        <w:pStyle w:val="Compact"/>
        <w:numPr>
          <w:ilvl w:val="0"/>
          <w:numId w:val="1001"/>
        </w:numPr>
      </w:pPr>
      <w:r>
        <w:t xml:space="preserve">ОГРНИП: 326774600326601</w:t>
      </w:r>
    </w:p>
    <w:p>
      <w:pPr>
        <w:pStyle w:val="Compact"/>
        <w:numPr>
          <w:ilvl w:val="0"/>
          <w:numId w:val="1001"/>
        </w:numPr>
      </w:pPr>
      <w:r>
        <w:t xml:space="preserve">Адрес: 117465, г. Москва, ул. Тёплый Стан, д. 3, корп. 1, кв. 136</w:t>
      </w:r>
    </w:p>
    <w:p>
      <w:pPr>
        <w:pStyle w:val="Compact"/>
        <w:numPr>
          <w:ilvl w:val="0"/>
          <w:numId w:val="1001"/>
        </w:numPr>
      </w:pPr>
      <w:r>
        <w:t xml:space="preserve">Email для запросов субъектов ПДн:</w:t>
      </w:r>
      <w:r>
        <w:t xml:space="preserve"> </w:t>
      </w:r>
      <w:hyperlink r:id="rId11">
        <w:r>
          <w:rPr>
            <w:rStyle w:val="Hyperlink"/>
          </w:rPr>
          <w:t xml:space="preserve">privacy@tiqqet.ru</w:t>
        </w:r>
      </w:hyperlink>
    </w:p>
    <w:p>
      <w:pPr>
        <w:pStyle w:val="Compact"/>
        <w:numPr>
          <w:ilvl w:val="0"/>
          <w:numId w:val="1001"/>
        </w:numPr>
      </w:pPr>
      <w:r>
        <w:t xml:space="preserve">Сайт:</w:t>
      </w:r>
      <w:r>
        <w:t xml:space="preserve"> </w:t>
      </w:r>
      <w:hyperlink r:id="rId12">
        <w:r>
          <w:rPr>
            <w:rStyle w:val="Hyperlink"/>
          </w:rPr>
          <w:t xml:space="preserve">tiqqet.ru</w:t>
        </w:r>
      </w:hyperlink>
    </w:p>
    <w:bookmarkEnd w:id="13"/>
    <w:bookmarkStart w:id="15" w:name="состав-персональных-данных"/>
    <w:p>
      <w:pPr>
        <w:pStyle w:val="Heading2"/>
      </w:pPr>
      <w:r>
        <w:t xml:space="preserve">3. Состав персональных данных</w:t>
      </w:r>
    </w:p>
    <w:p>
      <w:pPr>
        <w:pStyle w:val="FirstParagraph"/>
      </w:pPr>
      <w:r>
        <w:t xml:space="preserve">Согласие даётся на обработку следующих категорий персональных данных</w:t>
      </w:r>
      <w:r>
        <w:t xml:space="preserve"> </w:t>
      </w:r>
      <w:r>
        <w:t xml:space="preserve">Субъекта ПДн (объём зависит от того, какие данные субъект добровольно</w:t>
      </w:r>
      <w:r>
        <w:t xml:space="preserve"> </w:t>
      </w:r>
      <w:r>
        <w:t xml:space="preserve">сообщил Оператору):</w:t>
      </w:r>
    </w:p>
    <w:p>
      <w:pPr>
        <w:pStyle w:val="Compact"/>
        <w:numPr>
          <w:ilvl w:val="0"/>
          <w:numId w:val="1002"/>
        </w:numPr>
      </w:pPr>
      <w:r>
        <w:t xml:space="preserve">Фамилия, имя, отчество;</w:t>
      </w:r>
    </w:p>
    <w:p>
      <w:pPr>
        <w:pStyle w:val="Compact"/>
        <w:numPr>
          <w:ilvl w:val="0"/>
          <w:numId w:val="1002"/>
        </w:numPr>
      </w:pPr>
      <w:r>
        <w:t xml:space="preserve">Адрес электронной почты;</w:t>
      </w:r>
    </w:p>
    <w:p>
      <w:pPr>
        <w:pStyle w:val="Compact"/>
        <w:numPr>
          <w:ilvl w:val="0"/>
          <w:numId w:val="1002"/>
        </w:numPr>
      </w:pPr>
      <w:r>
        <w:t xml:space="preserve">Контактный телефон;</w:t>
      </w:r>
    </w:p>
    <w:p>
      <w:pPr>
        <w:pStyle w:val="Compact"/>
        <w:numPr>
          <w:ilvl w:val="0"/>
          <w:numId w:val="1002"/>
        </w:numPr>
      </w:pPr>
      <w:r>
        <w:t xml:space="preserve">Наименование организации, должность;</w:t>
      </w:r>
    </w:p>
    <w:p>
      <w:pPr>
        <w:pStyle w:val="Compact"/>
        <w:numPr>
          <w:ilvl w:val="0"/>
          <w:numId w:val="1002"/>
        </w:numPr>
      </w:pPr>
      <w:r>
        <w:t xml:space="preserve">Содержание обращений и переписки с Оператором;</w:t>
      </w:r>
    </w:p>
    <w:p>
      <w:pPr>
        <w:pStyle w:val="Compact"/>
        <w:numPr>
          <w:ilvl w:val="0"/>
          <w:numId w:val="1002"/>
        </w:numPr>
      </w:pPr>
      <w:r>
        <w:t xml:space="preserve">Логин, IP-адрес, журнал действий пользователя — для пользователей</w:t>
      </w:r>
      <w:r>
        <w:t xml:space="preserve"> </w:t>
      </w:r>
      <w:r>
        <w:t xml:space="preserve">демонстрационной версии приложения</w:t>
      </w:r>
      <w:r>
        <w:t xml:space="preserve"> </w:t>
      </w:r>
      <w:hyperlink r:id="rId14">
        <w:r>
          <w:rPr>
            <w:rStyle w:val="Hyperlink"/>
          </w:rPr>
          <w:t xml:space="preserve">app.tiqqet.ru</w:t>
        </w:r>
      </w:hyperlink>
      <w:r>
        <w:t xml:space="preserve">.</w:t>
      </w:r>
    </w:p>
    <w:p>
      <w:pPr>
        <w:pStyle w:val="FirstParagraph"/>
      </w:pPr>
      <w:r>
        <w:t xml:space="preserve">Оператор</w:t>
      </w:r>
      <w:r>
        <w:t xml:space="preserve"> </w:t>
      </w:r>
      <w:r>
        <w:rPr>
          <w:b/>
          <w:bCs/>
        </w:rPr>
        <w:t xml:space="preserve">не запрашивает и не обрабатывает</w:t>
      </w:r>
      <w:r>
        <w:t xml:space="preserve"> </w:t>
      </w:r>
      <w:r>
        <w:t xml:space="preserve">специальные категории</w:t>
      </w:r>
      <w:r>
        <w:t xml:space="preserve"> </w:t>
      </w:r>
      <w:r>
        <w:t xml:space="preserve">персональных данных (расовая или национальная принадлежность,</w:t>
      </w:r>
      <w:r>
        <w:t xml:space="preserve"> </w:t>
      </w:r>
      <w:r>
        <w:t xml:space="preserve">политические взгляды, религиозные убеждения, состояние здоровья,</w:t>
      </w:r>
      <w:r>
        <w:t xml:space="preserve"> </w:t>
      </w:r>
      <w:r>
        <w:t xml:space="preserve">интимная жизнь), биометрические персональные данные, а также</w:t>
      </w:r>
      <w:r>
        <w:t xml:space="preserve"> </w:t>
      </w:r>
      <w:r>
        <w:t xml:space="preserve">персональные данные несовершеннолетних.</w:t>
      </w:r>
    </w:p>
    <w:bookmarkEnd w:id="15"/>
    <w:bookmarkStart w:id="16" w:name="цели-обработки"/>
    <w:p>
      <w:pPr>
        <w:pStyle w:val="Heading2"/>
      </w:pPr>
      <w:r>
        <w:t xml:space="preserve">4. Цели обработки</w:t>
      </w:r>
    </w:p>
    <w:p>
      <w:pPr>
        <w:pStyle w:val="Compact"/>
        <w:numPr>
          <w:ilvl w:val="0"/>
          <w:numId w:val="1003"/>
        </w:numPr>
      </w:pPr>
      <w:r>
        <w:t xml:space="preserve">Ответ на обращения и запросы Субъекта ПДн;</w:t>
      </w:r>
    </w:p>
    <w:p>
      <w:pPr>
        <w:pStyle w:val="Compact"/>
        <w:numPr>
          <w:ilvl w:val="0"/>
          <w:numId w:val="1003"/>
        </w:numPr>
      </w:pPr>
      <w:r>
        <w:t xml:space="preserve">Подготовка коммерческих предложений и заключение лицензионных</w:t>
      </w:r>
      <w:r>
        <w:t xml:space="preserve"> </w:t>
      </w:r>
      <w:r>
        <w:t xml:space="preserve">договоров;</w:t>
      </w:r>
    </w:p>
    <w:p>
      <w:pPr>
        <w:pStyle w:val="Compact"/>
        <w:numPr>
          <w:ilvl w:val="0"/>
          <w:numId w:val="1003"/>
        </w:numPr>
      </w:pPr>
      <w:r>
        <w:t xml:space="preserve">Предоставление демонстрационного доступа к программному продукту</w:t>
      </w:r>
      <w:r>
        <w:t xml:space="preserve"> </w:t>
      </w:r>
      <w:r>
        <w:t xml:space="preserve">TIQQET;</w:t>
      </w:r>
    </w:p>
    <w:p>
      <w:pPr>
        <w:pStyle w:val="Compact"/>
        <w:numPr>
          <w:ilvl w:val="0"/>
          <w:numId w:val="1003"/>
        </w:numPr>
      </w:pPr>
      <w:r>
        <w:t xml:space="preserve">Исполнение заключённых договоров и оказание технической поддержки;</w:t>
      </w:r>
    </w:p>
    <w:p>
      <w:pPr>
        <w:pStyle w:val="Compact"/>
        <w:numPr>
          <w:ilvl w:val="0"/>
          <w:numId w:val="1003"/>
        </w:numPr>
      </w:pPr>
      <w:r>
        <w:t xml:space="preserve">Соблюдение требований законодательства Российской Федерации</w:t>
      </w:r>
      <w:r>
        <w:t xml:space="preserve"> </w:t>
      </w:r>
      <w:r>
        <w:t xml:space="preserve">(бухгалтерский учёт, налоговая отчётность).</w:t>
      </w:r>
    </w:p>
    <w:bookmarkEnd w:id="16"/>
    <w:bookmarkStart w:id="17" w:name="Xe0a6d050e8f38632cdf6e5372391a4f93742aec"/>
    <w:p>
      <w:pPr>
        <w:pStyle w:val="Heading2"/>
      </w:pPr>
      <w:r>
        <w:t xml:space="preserve">5. Перечень действий с персональными данными</w:t>
      </w:r>
    </w:p>
    <w:p>
      <w:pPr>
        <w:pStyle w:val="FirstParagraph"/>
      </w:pPr>
      <w:r>
        <w:t xml:space="preserve">Согласие предоставляется на совершение Оператором следующих действий с</w:t>
      </w:r>
      <w:r>
        <w:t xml:space="preserve"> </w:t>
      </w:r>
      <w:r>
        <w:t xml:space="preserve">персональными данными Субъекта ПДн как с использованием средств</w:t>
      </w:r>
      <w:r>
        <w:t xml:space="preserve"> </w:t>
      </w:r>
      <w:r>
        <w:t xml:space="preserve">автоматизации, так и без таковых: сбор, запись, систематизация,</w:t>
      </w:r>
      <w:r>
        <w:t xml:space="preserve"> </w:t>
      </w:r>
      <w:r>
        <w:t xml:space="preserve">накопление, хранение, уточнение (обновление, изменение), извлечение,</w:t>
      </w:r>
      <w:r>
        <w:t xml:space="preserve"> </w:t>
      </w:r>
      <w:r>
        <w:t xml:space="preserve">использование, передача (предоставление, доступ — в случаях,</w:t>
      </w:r>
      <w:r>
        <w:t xml:space="preserve"> </w:t>
      </w:r>
      <w:r>
        <w:t xml:space="preserve">предусмотренных пунктом 6 настоящего Согласия), обезличивание,</w:t>
      </w:r>
      <w:r>
        <w:t xml:space="preserve"> </w:t>
      </w:r>
      <w:r>
        <w:t xml:space="preserve">блокирование, удаление, уничтожение.</w:t>
      </w:r>
    </w:p>
    <w:bookmarkEnd w:id="17"/>
    <w:bookmarkStart w:id="18" w:name="X24f9fec43246e305798ba12d6d5698396309d39"/>
    <w:p>
      <w:pPr>
        <w:pStyle w:val="Heading2"/>
      </w:pPr>
      <w:r>
        <w:t xml:space="preserve">6. Передача персональных данных третьим лицам</w:t>
      </w:r>
    </w:p>
    <w:p>
      <w:pPr>
        <w:pStyle w:val="FirstParagraph"/>
      </w:pPr>
      <w:r>
        <w:t xml:space="preserve">Оператор вправе поручать обработку персональных данных Субъекта ПДн</w:t>
      </w:r>
      <w:r>
        <w:t xml:space="preserve"> </w:t>
      </w:r>
      <w:r>
        <w:t xml:space="preserve">третьим лицам на основании заключаемых с ними договоров в соответствии с</w:t>
      </w:r>
      <w:r>
        <w:t xml:space="preserve"> </w:t>
      </w:r>
      <w:r>
        <w:t xml:space="preserve">частью 3 статьи 6 152-ФЗ. К таким лицам относятся:</w:t>
      </w:r>
    </w:p>
    <w:p>
      <w:pPr>
        <w:pStyle w:val="Compact"/>
        <w:numPr>
          <w:ilvl w:val="0"/>
          <w:numId w:val="1004"/>
        </w:numPr>
      </w:pPr>
      <w:r>
        <w:t xml:space="preserve">хостинг-провайдер, обеспечивающий размещение сайта и сервисов</w:t>
      </w:r>
      <w:r>
        <w:t xml:space="preserve"> </w:t>
      </w:r>
      <w:r>
        <w:t xml:space="preserve">Оператора на территории Российской Федерации;</w:t>
      </w:r>
    </w:p>
    <w:p>
      <w:pPr>
        <w:pStyle w:val="Compact"/>
        <w:numPr>
          <w:ilvl w:val="0"/>
          <w:numId w:val="1004"/>
        </w:numPr>
      </w:pPr>
      <w:r>
        <w:t xml:space="preserve">поставщик услуг электронной почты (хостинг почты на серверах в</w:t>
      </w:r>
      <w:r>
        <w:t xml:space="preserve"> </w:t>
      </w:r>
      <w:r>
        <w:t xml:space="preserve">Российской Федерации);</w:t>
      </w:r>
    </w:p>
    <w:p>
      <w:pPr>
        <w:pStyle w:val="Compact"/>
        <w:numPr>
          <w:ilvl w:val="0"/>
          <w:numId w:val="1004"/>
        </w:numPr>
      </w:pPr>
      <w:r>
        <w:t xml:space="preserve">лица, осуществляющие бухгалтерское и налоговое обслуживание Оператора,</w:t>
      </w:r>
      <w:r>
        <w:t xml:space="preserve"> </w:t>
      </w:r>
      <w:r>
        <w:t xml:space="preserve">— в части, необходимой для исполнения требований законодательства.</w:t>
      </w:r>
    </w:p>
    <w:p>
      <w:pPr>
        <w:pStyle w:val="FirstParagraph"/>
      </w:pPr>
      <w:r>
        <w:t xml:space="preserve">Привлекаемые лица обязуются соблюдать конфиденциальность и обеспечивать</w:t>
      </w:r>
      <w:r>
        <w:t xml:space="preserve"> </w:t>
      </w:r>
      <w:r>
        <w:t xml:space="preserve">безопасность персональных данных.</w:t>
      </w:r>
      <w:r>
        <w:t xml:space="preserve"> </w:t>
      </w:r>
      <w:r>
        <w:rPr>
          <w:b/>
          <w:bCs/>
        </w:rPr>
        <w:t xml:space="preserve">Трансграничная передача персональных</w:t>
      </w:r>
      <w:r>
        <w:rPr>
          <w:b/>
          <w:bCs/>
        </w:rPr>
        <w:t xml:space="preserve"> </w:t>
      </w:r>
      <w:r>
        <w:rPr>
          <w:b/>
          <w:bCs/>
        </w:rPr>
        <w:t xml:space="preserve">данных</w:t>
      </w:r>
      <w:r>
        <w:t xml:space="preserve"> </w:t>
      </w:r>
      <w:r>
        <w:t xml:space="preserve">Оператором не осуществляется.</w:t>
      </w:r>
    </w:p>
    <w:bookmarkEnd w:id="18"/>
    <w:bookmarkStart w:id="19" w:name="срок-действия-согласия"/>
    <w:p>
      <w:pPr>
        <w:pStyle w:val="Heading2"/>
      </w:pPr>
      <w:r>
        <w:t xml:space="preserve">7. Срок действия согласия</w:t>
      </w:r>
    </w:p>
    <w:p>
      <w:pPr>
        <w:pStyle w:val="FirstParagraph"/>
      </w:pPr>
      <w:r>
        <w:t xml:space="preserve">Настоящее Согласие действует с момента его предоставления (направления</w:t>
      </w:r>
      <w:r>
        <w:t xml:space="preserve"> </w:t>
      </w:r>
      <w:r>
        <w:t xml:space="preserve">Субъектом ПДн соответствующих сведений Оператору) и сохраняется в</w:t>
      </w:r>
      <w:r>
        <w:t xml:space="preserve"> </w:t>
      </w:r>
      <w:r>
        <w:t xml:space="preserve">течение срока, необходимого для достижения целей обработки, либо</w:t>
      </w:r>
      <w:r>
        <w:t xml:space="preserve"> </w:t>
      </w:r>
      <w:r>
        <w:rPr>
          <w:b/>
          <w:bCs/>
        </w:rPr>
        <w:t xml:space="preserve">до</w:t>
      </w:r>
      <w:r>
        <w:rPr>
          <w:b/>
          <w:bCs/>
        </w:rPr>
        <w:t xml:space="preserve"> </w:t>
      </w:r>
      <w:r>
        <w:rPr>
          <w:b/>
          <w:bCs/>
        </w:rPr>
        <w:t xml:space="preserve">момента отзыва</w:t>
      </w:r>
      <w:r>
        <w:t xml:space="preserve"> </w:t>
      </w:r>
      <w:r>
        <w:t xml:space="preserve">Согласия Субъектом ПДн, в зависимости от того, какое из</w:t>
      </w:r>
      <w:r>
        <w:t xml:space="preserve"> </w:t>
      </w:r>
      <w:r>
        <w:t xml:space="preserve">событий наступит раньше.</w:t>
      </w:r>
    </w:p>
    <w:p>
      <w:pPr>
        <w:pStyle w:val="BodyText"/>
      </w:pPr>
      <w:r>
        <w:t xml:space="preserve">В отношении персональных данных, обработка которых необходима для</w:t>
      </w:r>
      <w:r>
        <w:t xml:space="preserve"> </w:t>
      </w:r>
      <w:r>
        <w:t xml:space="preserve">исполнения обязанностей, возложенных на Оператора законодательством</w:t>
      </w:r>
      <w:r>
        <w:t xml:space="preserve"> </w:t>
      </w:r>
      <w:r>
        <w:t xml:space="preserve">Российской Федерации (бухгалтерский учёт, налоговая отчётность), срок</w:t>
      </w:r>
      <w:r>
        <w:t xml:space="preserve"> </w:t>
      </w:r>
      <w:r>
        <w:t xml:space="preserve">хранения определяется применимыми нормами и составляет, как правило, 5</w:t>
      </w:r>
      <w:r>
        <w:t xml:space="preserve"> </w:t>
      </w:r>
      <w:r>
        <w:t xml:space="preserve">(пять) лет с даты прекращения договорных отношений.</w:t>
      </w:r>
    </w:p>
    <w:bookmarkEnd w:id="19"/>
    <w:bookmarkStart w:id="20" w:name="порядок-отзыва-согласия"/>
    <w:p>
      <w:pPr>
        <w:pStyle w:val="Heading2"/>
      </w:pPr>
      <w:r>
        <w:t xml:space="preserve">8. Порядок отзыва согласия</w:t>
      </w:r>
    </w:p>
    <w:p>
      <w:pPr>
        <w:pStyle w:val="FirstParagraph"/>
      </w:pPr>
      <w:r>
        <w:t xml:space="preserve">Согласие может быть отозвано Субъектом ПДн в любой момент путём</w:t>
      </w:r>
      <w:r>
        <w:t xml:space="preserve"> </w:t>
      </w:r>
      <w:r>
        <w:t xml:space="preserve">направления Оператору письменного заявления в соответствии с частью 2</w:t>
      </w:r>
      <w:r>
        <w:t xml:space="preserve"> </w:t>
      </w:r>
      <w:r>
        <w:t xml:space="preserve">статьи 9 152-ФЗ:</w:t>
      </w:r>
    </w:p>
    <w:p>
      <w:pPr>
        <w:pStyle w:val="Compact"/>
        <w:numPr>
          <w:ilvl w:val="0"/>
          <w:numId w:val="1005"/>
        </w:numPr>
      </w:pPr>
      <w:r>
        <w:t xml:space="preserve">по электронной почте:</w:t>
      </w:r>
      <w:r>
        <w:t xml:space="preserve"> </w:t>
      </w:r>
      <w:hyperlink r:id="rId11">
        <w:r>
          <w:rPr>
            <w:rStyle w:val="Hyperlink"/>
          </w:rPr>
          <w:t xml:space="preserve">privacy@tiqqet.ru</w:t>
        </w:r>
      </w:hyperlink>
      <w:r>
        <w:t xml:space="preserve"> </w:t>
      </w:r>
      <w:r>
        <w:t xml:space="preserve">с темой «Отзыв согласия на</w:t>
      </w:r>
      <w:r>
        <w:t xml:space="preserve"> </w:t>
      </w:r>
      <w:r>
        <w:t xml:space="preserve">обработку ПДн»;</w:t>
      </w:r>
    </w:p>
    <w:p>
      <w:pPr>
        <w:pStyle w:val="Compact"/>
        <w:numPr>
          <w:ilvl w:val="0"/>
          <w:numId w:val="1005"/>
        </w:numPr>
      </w:pPr>
      <w:r>
        <w:t xml:space="preserve">почтовым отправлением по адресу: 117465, г. Москва, ул. Тёплый Стан,</w:t>
      </w:r>
      <w:r>
        <w:t xml:space="preserve"> </w:t>
      </w:r>
      <w:r>
        <w:t xml:space="preserve">д. 3, корп. 1, кв. 136.</w:t>
      </w:r>
    </w:p>
    <w:p>
      <w:pPr>
        <w:pStyle w:val="FirstParagraph"/>
      </w:pPr>
      <w:r>
        <w:t xml:space="preserve">Заявление должно содержать сведения, позволяющие идентифицировать</w:t>
      </w:r>
      <w:r>
        <w:t xml:space="preserve"> </w:t>
      </w:r>
      <w:r>
        <w:t xml:space="preserve">Субъекта ПДн: фамилию, имя, отчество, контактные данные (email/телефон),</w:t>
      </w:r>
      <w:r>
        <w:t xml:space="preserve"> </w:t>
      </w:r>
      <w:r>
        <w:t xml:space="preserve">указанные ранее при обращении к Оператору, а также явное указание на</w:t>
      </w:r>
      <w:r>
        <w:t xml:space="preserve"> </w:t>
      </w:r>
      <w:r>
        <w:t xml:space="preserve">отзыв согласия.</w:t>
      </w:r>
    </w:p>
    <w:p>
      <w:pPr>
        <w:pStyle w:val="BodyText"/>
      </w:pPr>
      <w:r>
        <w:t xml:space="preserve">Оператор обязан прекратить обработку персональных данных и обеспечить их</w:t>
      </w:r>
      <w:r>
        <w:t xml:space="preserve"> </w:t>
      </w:r>
      <w:r>
        <w:t xml:space="preserve">уничтожение в срок, не превышающий</w:t>
      </w:r>
      <w:r>
        <w:t xml:space="preserve"> </w:t>
      </w:r>
      <w:r>
        <w:rPr>
          <w:b/>
          <w:bCs/>
        </w:rPr>
        <w:t xml:space="preserve">30 (тридцати) дней</w:t>
      </w:r>
      <w:r>
        <w:t xml:space="preserve"> </w:t>
      </w:r>
      <w:r>
        <w:t xml:space="preserve">с даты</w:t>
      </w:r>
      <w:r>
        <w:t xml:space="preserve"> </w:t>
      </w:r>
      <w:r>
        <w:t xml:space="preserve">поступления отзыва согласия, за исключением случаев, когда обработка</w:t>
      </w:r>
      <w:r>
        <w:t xml:space="preserve"> </w:t>
      </w:r>
      <w:r>
        <w:t xml:space="preserve">может быть продолжена в соответствии с пунктами 2–11 части 1 статьи 6,</w:t>
      </w:r>
      <w:r>
        <w:t xml:space="preserve"> </w:t>
      </w:r>
      <w:r>
        <w:t xml:space="preserve">частью 2 статьи 10 и частью 2 статьи 11 152-ФЗ, а также если иной срок</w:t>
      </w:r>
      <w:r>
        <w:t xml:space="preserve"> </w:t>
      </w:r>
      <w:r>
        <w:t xml:space="preserve">не установлен законодательством Российской Федерации.</w:t>
      </w:r>
    </w:p>
    <w:bookmarkEnd w:id="20"/>
    <w:bookmarkStart w:id="21" w:name="подтверждение-субъекта-пдн"/>
    <w:p>
      <w:pPr>
        <w:pStyle w:val="Heading2"/>
      </w:pPr>
      <w:r>
        <w:t xml:space="preserve">9. Подтверждение Субъекта ПДн</w:t>
      </w:r>
    </w:p>
    <w:p>
      <w:pPr>
        <w:pStyle w:val="FirstParagraph"/>
      </w:pPr>
      <w:r>
        <w:t xml:space="preserve">Направляя Оператору обращение, запрос или иные сведения, содержащие</w:t>
      </w:r>
      <w:r>
        <w:t xml:space="preserve"> </w:t>
      </w:r>
      <w:r>
        <w:t xml:space="preserve">персональные данные, через адреса электронной почты, указанные на сайте</w:t>
      </w:r>
      <w:r>
        <w:t xml:space="preserve"> </w:t>
      </w:r>
      <w:hyperlink r:id="rId12">
        <w:r>
          <w:rPr>
            <w:rStyle w:val="Hyperlink"/>
          </w:rPr>
          <w:t xml:space="preserve">tiqqet.ru</w:t>
        </w:r>
      </w:hyperlink>
      <w:r>
        <w:t xml:space="preserve">, либо в процессе использования</w:t>
      </w:r>
      <w:r>
        <w:t xml:space="preserve"> </w:t>
      </w:r>
      <w:r>
        <w:t xml:space="preserve">демонстрационной версии приложения</w:t>
      </w:r>
      <w:r>
        <w:t xml:space="preserve"> </w:t>
      </w:r>
      <w:hyperlink r:id="rId14">
        <w:r>
          <w:rPr>
            <w:rStyle w:val="Hyperlink"/>
          </w:rPr>
          <w:t xml:space="preserve">app.tiqqet.ru</w:t>
        </w:r>
      </w:hyperlink>
      <w:r>
        <w:t xml:space="preserve">, Субъект ПДн подтверждает:</w:t>
      </w:r>
    </w:p>
    <w:p>
      <w:pPr>
        <w:pStyle w:val="Compact"/>
        <w:numPr>
          <w:ilvl w:val="0"/>
          <w:numId w:val="1006"/>
        </w:numPr>
      </w:pPr>
      <w:r>
        <w:t xml:space="preserve">ознакомление с настоящим Согласием и</w:t>
      </w:r>
      <w:r>
        <w:t xml:space="preserve"> </w:t>
      </w:r>
      <w:hyperlink r:id="rId9">
        <w:r>
          <w:rPr>
            <w:rStyle w:val="Hyperlink"/>
          </w:rPr>
          <w:t xml:space="preserve">Политикой обработки персональных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данных</w:t>
        </w:r>
      </w:hyperlink>
      <w:r>
        <w:t xml:space="preserve"> </w:t>
      </w:r>
      <w:r>
        <w:t xml:space="preserve">Оператора;</w:t>
      </w:r>
    </w:p>
    <w:p>
      <w:pPr>
        <w:pStyle w:val="Compact"/>
        <w:numPr>
          <w:ilvl w:val="0"/>
          <w:numId w:val="1006"/>
        </w:numPr>
      </w:pPr>
      <w:r>
        <w:t xml:space="preserve">достижение совершеннолетнего возраста и наличие полной дееспособности;</w:t>
      </w:r>
    </w:p>
    <w:p>
      <w:pPr>
        <w:pStyle w:val="Compact"/>
        <w:numPr>
          <w:ilvl w:val="0"/>
          <w:numId w:val="1006"/>
        </w:numPr>
      </w:pPr>
      <w:r>
        <w:t xml:space="preserve">что волеизъявление является свободным, конкретным, информированным и</w:t>
      </w:r>
      <w:r>
        <w:t xml:space="preserve"> </w:t>
      </w:r>
      <w:r>
        <w:t xml:space="preserve">сознательным;</w:t>
      </w:r>
    </w:p>
    <w:p>
      <w:pPr>
        <w:pStyle w:val="Compact"/>
        <w:numPr>
          <w:ilvl w:val="0"/>
          <w:numId w:val="1006"/>
        </w:numPr>
      </w:pPr>
      <w:r>
        <w:t xml:space="preserve">осведомлённость о праве в любой момент отозвать настоящее Согласие в</w:t>
      </w:r>
      <w:r>
        <w:t xml:space="preserve"> </w:t>
      </w:r>
      <w:r>
        <w:t xml:space="preserve">порядке, предусмотренном пунктом 8.</w:t>
      </w:r>
    </w:p>
    <w:p>
      <w:pPr>
        <w:pStyle w:val="FirstParagraph"/>
      </w:pPr>
      <w:r>
        <w:t xml:space="preserve">Если Вы не согласны с условиями обработки персональных данных —</w:t>
      </w:r>
      <w:r>
        <w:t xml:space="preserve"> </w:t>
      </w:r>
      <w:r>
        <w:t xml:space="preserve">пожалуйста, не направляйте Оператору свои персональные данные и не</w:t>
      </w:r>
      <w:r>
        <w:t xml:space="preserve"> </w:t>
      </w:r>
      <w:r>
        <w:t xml:space="preserve">используйте сервисы Оператора.</w:t>
      </w:r>
    </w:p>
    <w:bookmarkEnd w:id="21"/>
    <w:sectPr>
      <w:pgSz w:h="16834" w:orient="portrait" w:w="11909"/>
      <w:pgMar w:bottom="1440" w:footer="720" w:header="720" w:left="1440" w:right="1440" w:top="1440"/>
      <w:pgNumType w:start="1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abstractNum w:abstractNumId="1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TrueTypeFonts w:val="1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</w:compat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default="1" w:styleId="TableNormal" w:type="table">
    <w:name w:val="TableNormal"/>
    <w:tblPr>
      <w:tblCellMar>
        <w:top w:type="dxa" w:w="100.0"/>
        <w:left w:type="dxa" w:w="100.0"/>
        <w:bottom w:type="dxa" w:w="100.0"/>
        <w:right w:type="dxa" w:w="100.0"/>
      </w:tblCellMar>
    </w:tblPr>
  </w:style>
  <w:style w:default="1" w:styleId="Normal" w:type="paragraph">
    <w:name w:val="normal"/>
  </w:style>
  <w:style w:styleId="Heading1" w:type="paragraph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styleId="Heading2" w:type="paragraph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styleId="Heading3" w:type="paragraph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styleId="Heading4" w:type="paragraph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styleId="Heading5" w:type="paragraph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styleId="Heading6" w:type="paragraph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styleId="Title" w:type="paragraph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styleId="Subtitle" w:type="paragraph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/pdn-policy" TargetMode="External" /><Relationship Type="http://schemas.openxmlformats.org/officeDocument/2006/relationships/hyperlink" Id="rId14" Target="https://app.tiqqet.ru" TargetMode="External" /><Relationship Type="http://schemas.openxmlformats.org/officeDocument/2006/relationships/hyperlink" Id="rId12" Target="https://tiqqet.ru" TargetMode="External" /><Relationship Type="http://schemas.openxmlformats.org/officeDocument/2006/relationships/hyperlink" Id="rId11" Target="mailto:privacy@tiqqet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/pdn-policy" TargetMode="External" /><Relationship Type="http://schemas.openxmlformats.org/officeDocument/2006/relationships/hyperlink" Id="rId14" Target="https://app.tiqqet.ru" TargetMode="External" /><Relationship Type="http://schemas.openxmlformats.org/officeDocument/2006/relationships/hyperlink" Id="rId12" Target="https://tiqqet.ru" TargetMode="External" /><Relationship Type="http://schemas.openxmlformats.org/officeDocument/2006/relationships/hyperlink" Id="rId11" Target="mailto:privacy@tiqqet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2026-05-14T13:39:54Z</dcterms:created>
  <dcterms:modified xsi:type="dcterms:W3CDTF">2026-05-14T13:39:54Z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